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B8804">
      <w:pPr>
        <w:widowControl/>
        <w:ind w:firstLine="600" w:firstLineChars="200"/>
        <w:jc w:val="center"/>
        <w:rPr>
          <w:rFonts w:ascii="仿宋_GB2312" w:hAnsi="宋体" w:eastAsia="仿宋_GB2312" w:cs="宋体"/>
          <w:b w:val="0"/>
          <w:bCs w:val="0"/>
          <w:color w:val="000000"/>
          <w:kern w:val="0"/>
          <w:sz w:val="30"/>
          <w:szCs w:val="30"/>
        </w:rPr>
      </w:pPr>
      <w:r>
        <w:rPr>
          <w:rFonts w:hint="eastAsia" w:ascii="仿宋_GB2312" w:hAnsi="宋体" w:eastAsia="仿宋_GB2312" w:cs="宋体"/>
          <w:b w:val="0"/>
          <w:bCs w:val="0"/>
          <w:color w:val="000000"/>
          <w:kern w:val="0"/>
          <w:sz w:val="30"/>
          <w:szCs w:val="30"/>
        </w:rPr>
        <w:t>研究生预答辩和答辩工作办法</w:t>
      </w:r>
    </w:p>
    <w:p w14:paraId="2F98FA6D">
      <w:pPr>
        <w:widowControl/>
        <w:jc w:val="left"/>
        <w:rPr>
          <w:rFonts w:ascii="仿宋_GB2312" w:hAnsi="宋体" w:eastAsia="仿宋_GB2312" w:cs="宋体"/>
          <w:b w:val="0"/>
          <w:bCs w:val="0"/>
          <w:color w:val="000000"/>
          <w:kern w:val="0"/>
          <w:sz w:val="30"/>
          <w:szCs w:val="30"/>
        </w:rPr>
      </w:pPr>
      <w:r>
        <w:rPr>
          <w:rFonts w:hint="eastAsia" w:ascii="仿宋_GB2312" w:hAnsi="宋体" w:eastAsia="仿宋_GB2312" w:cs="宋体"/>
          <w:b w:val="0"/>
          <w:bCs w:val="0"/>
          <w:color w:val="000000"/>
          <w:kern w:val="0"/>
          <w:sz w:val="30"/>
          <w:szCs w:val="30"/>
        </w:rPr>
        <w:t>一、预答辩</w:t>
      </w:r>
    </w:p>
    <w:p w14:paraId="3F0421C6">
      <w:pPr>
        <w:widowControl/>
        <w:ind w:firstLine="600" w:firstLineChars="200"/>
        <w:jc w:val="left"/>
        <w:rPr>
          <w:rFonts w:ascii="仿宋_GB2312" w:hAnsi="宋体" w:eastAsia="仿宋_GB2312" w:cs="宋体"/>
          <w:b w:val="0"/>
          <w:bCs w:val="0"/>
          <w:color w:val="000000"/>
          <w:kern w:val="0"/>
          <w:sz w:val="30"/>
          <w:szCs w:val="30"/>
        </w:rPr>
      </w:pPr>
      <w:r>
        <w:rPr>
          <w:rFonts w:hint="eastAsia" w:ascii="仿宋_GB2312" w:hAnsi="宋体" w:eastAsia="仿宋_GB2312" w:cs="宋体"/>
          <w:b w:val="0"/>
          <w:bCs w:val="0"/>
          <w:kern w:val="0"/>
          <w:sz w:val="30"/>
          <w:szCs w:val="30"/>
        </w:rPr>
        <w:t>每年3月1日前、9月1日前，拟毕业或授学位的硕士和博士研究生（包括学术型硕士研究生、专业型硕士研究生、同等学力硕士研究生、学术型博士研究生、专业型博士研究生、临床医学专业学位博士研究生等）必须进行</w:t>
      </w:r>
      <w:r>
        <w:rPr>
          <w:rFonts w:ascii="仿宋_GB2312" w:hAnsi="宋体" w:eastAsia="仿宋_GB2312" w:cs="宋体"/>
          <w:b w:val="0"/>
          <w:bCs w:val="0"/>
          <w:kern w:val="0"/>
          <w:sz w:val="30"/>
          <w:szCs w:val="30"/>
        </w:rPr>
        <w:t>学位论文预答辩</w:t>
      </w:r>
      <w:r>
        <w:rPr>
          <w:rFonts w:hint="eastAsia" w:ascii="仿宋_GB2312" w:hAnsi="宋体" w:eastAsia="仿宋_GB2312" w:cs="宋体"/>
          <w:b w:val="0"/>
          <w:bCs w:val="0"/>
          <w:kern w:val="0"/>
          <w:sz w:val="30"/>
          <w:szCs w:val="30"/>
        </w:rPr>
        <w:t>，</w:t>
      </w:r>
      <w:r>
        <w:rPr>
          <w:rFonts w:ascii="仿宋_GB2312" w:hAnsi="宋体" w:eastAsia="仿宋_GB2312" w:cs="宋体"/>
          <w:b w:val="0"/>
          <w:bCs w:val="0"/>
          <w:kern w:val="0"/>
          <w:sz w:val="30"/>
          <w:szCs w:val="30"/>
        </w:rPr>
        <w:t>凡未参加预答辩者，不得</w:t>
      </w:r>
      <w:r>
        <w:rPr>
          <w:rFonts w:hint="eastAsia" w:ascii="仿宋_GB2312" w:hAnsi="宋体" w:eastAsia="仿宋_GB2312" w:cs="宋体"/>
          <w:b w:val="0"/>
          <w:bCs w:val="0"/>
          <w:kern w:val="0"/>
          <w:sz w:val="30"/>
          <w:szCs w:val="30"/>
        </w:rPr>
        <w:t>参加学位论文答辩</w:t>
      </w:r>
      <w:r>
        <w:rPr>
          <w:rFonts w:ascii="仿宋_GB2312" w:hAnsi="宋体" w:eastAsia="仿宋_GB2312" w:cs="宋体"/>
          <w:b w:val="0"/>
          <w:bCs w:val="0"/>
          <w:kern w:val="0"/>
          <w:sz w:val="30"/>
          <w:szCs w:val="30"/>
        </w:rPr>
        <w:t>。</w:t>
      </w:r>
      <w:r>
        <w:rPr>
          <w:rFonts w:ascii="仿宋_GB2312" w:hAnsi="宋体" w:eastAsia="仿宋_GB2312" w:cs="宋体"/>
          <w:b w:val="0"/>
          <w:bCs w:val="0"/>
          <w:color w:val="000000"/>
          <w:kern w:val="0"/>
          <w:sz w:val="30"/>
          <w:szCs w:val="30"/>
        </w:rPr>
        <w:t>预答辩小组应事先审阅学位论文和开题报告以及专家开题论证意见等。</w:t>
      </w:r>
    </w:p>
    <w:p w14:paraId="30A3BAE9">
      <w:pPr>
        <w:widowControl/>
        <w:ind w:firstLine="600" w:firstLineChars="200"/>
        <w:jc w:val="left"/>
        <w:rPr>
          <w:rFonts w:ascii="仿宋_GB2312" w:hAnsi="宋体" w:eastAsia="仿宋_GB2312" w:cs="宋体"/>
          <w:b w:val="0"/>
          <w:bCs w:val="0"/>
          <w:kern w:val="0"/>
          <w:sz w:val="30"/>
          <w:szCs w:val="30"/>
        </w:rPr>
      </w:pPr>
      <w:r>
        <w:rPr>
          <w:rFonts w:ascii="仿宋_GB2312" w:hAnsi="宋体" w:eastAsia="仿宋_GB2312" w:cs="宋体"/>
          <w:b w:val="0"/>
          <w:bCs w:val="0"/>
          <w:kern w:val="0"/>
          <w:sz w:val="30"/>
          <w:szCs w:val="30"/>
        </w:rPr>
        <w:t>学位论文预答辩小组由学位申请人的导师、指导小组成员以及本学科、相关学科的专家3</w:t>
      </w:r>
      <w:r>
        <w:rPr>
          <w:rFonts w:hint="eastAsia" w:ascii="仿宋_GB2312" w:hAnsi="宋体" w:eastAsia="仿宋_GB2312" w:cs="宋体"/>
          <w:b w:val="0"/>
          <w:bCs w:val="0"/>
          <w:kern w:val="0"/>
          <w:sz w:val="30"/>
          <w:szCs w:val="30"/>
        </w:rPr>
        <w:t>人</w:t>
      </w:r>
      <w:r>
        <w:rPr>
          <w:rFonts w:ascii="仿宋_GB2312" w:hAnsi="宋体" w:eastAsia="仿宋_GB2312" w:cs="宋体"/>
          <w:b w:val="0"/>
          <w:bCs w:val="0"/>
          <w:kern w:val="0"/>
          <w:sz w:val="30"/>
          <w:szCs w:val="30"/>
        </w:rPr>
        <w:t>或5人组成，其中应有学位论文开题论证专家。</w:t>
      </w:r>
      <w:r>
        <w:rPr>
          <w:rFonts w:hint="eastAsia" w:ascii="仿宋_GB2312" w:hAnsi="宋体" w:eastAsia="仿宋_GB2312" w:cs="宋体"/>
          <w:b w:val="0"/>
          <w:bCs w:val="0"/>
          <w:kern w:val="0"/>
          <w:sz w:val="30"/>
          <w:szCs w:val="30"/>
        </w:rPr>
        <w:t>硕士研究生预答辩小组成员由具有硕士研究生导师任职资格（含）以上的本学科专家组成，硕导不足3人的培养单位可由</w:t>
      </w:r>
      <w:r>
        <w:rPr>
          <w:rFonts w:ascii="仿宋_GB2312" w:hAnsi="宋体" w:eastAsia="仿宋_GB2312" w:cs="宋体"/>
          <w:b w:val="0"/>
          <w:bCs w:val="0"/>
          <w:kern w:val="0"/>
          <w:sz w:val="30"/>
          <w:szCs w:val="30"/>
        </w:rPr>
        <w:t>副高级及以上职称</w:t>
      </w:r>
      <w:r>
        <w:rPr>
          <w:rFonts w:hint="eastAsia" w:ascii="仿宋_GB2312" w:hAnsi="宋体" w:eastAsia="仿宋_GB2312" w:cs="宋体"/>
          <w:b w:val="0"/>
          <w:bCs w:val="0"/>
          <w:kern w:val="0"/>
          <w:sz w:val="30"/>
          <w:szCs w:val="30"/>
        </w:rPr>
        <w:t>专家或相关学科硕导组成。博士研究生预答辩小组成员由具有博士研究生导师任职资格的本学科专家组成，博导不足3人的培养单位可由正</w:t>
      </w:r>
      <w:r>
        <w:rPr>
          <w:rFonts w:ascii="仿宋_GB2312" w:hAnsi="宋体" w:eastAsia="仿宋_GB2312" w:cs="宋体"/>
          <w:b w:val="0"/>
          <w:bCs w:val="0"/>
          <w:kern w:val="0"/>
          <w:sz w:val="30"/>
          <w:szCs w:val="30"/>
        </w:rPr>
        <w:t>高级职称</w:t>
      </w:r>
      <w:r>
        <w:rPr>
          <w:rFonts w:hint="eastAsia" w:ascii="仿宋_GB2312" w:hAnsi="宋体" w:eastAsia="仿宋_GB2312" w:cs="宋体"/>
          <w:b w:val="0"/>
          <w:bCs w:val="0"/>
          <w:kern w:val="0"/>
          <w:sz w:val="30"/>
          <w:szCs w:val="30"/>
        </w:rPr>
        <w:t>专家或相关学科博导组成。同时预答辩小组设秘书1名，由</w:t>
      </w:r>
      <w:r>
        <w:rPr>
          <w:rFonts w:ascii="仿宋_GB2312" w:hAnsi="宋体" w:eastAsia="仿宋_GB2312" w:cs="宋体"/>
          <w:b w:val="0"/>
          <w:bCs w:val="0"/>
          <w:kern w:val="0"/>
          <w:sz w:val="30"/>
          <w:szCs w:val="30"/>
        </w:rPr>
        <w:t>具有中级及以上职称或硕士及以上学位的教师担任</w:t>
      </w:r>
      <w:r>
        <w:rPr>
          <w:rFonts w:hint="eastAsia" w:ascii="仿宋_GB2312" w:hAnsi="宋体" w:eastAsia="仿宋_GB2312" w:cs="宋体"/>
          <w:b w:val="0"/>
          <w:bCs w:val="0"/>
          <w:kern w:val="0"/>
          <w:sz w:val="30"/>
          <w:szCs w:val="30"/>
        </w:rPr>
        <w:t>，负责记录和整理研究生预答辩的考核过程和相关材料。</w:t>
      </w:r>
    </w:p>
    <w:p w14:paraId="76FA2A74">
      <w:pPr>
        <w:widowControl/>
        <w:ind w:firstLine="600" w:firstLineChars="200"/>
        <w:jc w:val="left"/>
        <w:rPr>
          <w:rFonts w:ascii="宋体" w:hAnsi="宋体" w:cs="宋体"/>
          <w:b w:val="0"/>
          <w:bCs w:val="0"/>
          <w:color w:val="000000"/>
          <w:kern w:val="0"/>
          <w:sz w:val="30"/>
          <w:szCs w:val="30"/>
        </w:rPr>
      </w:pPr>
      <w:r>
        <w:rPr>
          <w:rFonts w:ascii="仿宋_GB2312" w:hAnsi="宋体" w:eastAsia="仿宋_GB2312" w:cs="宋体"/>
          <w:b w:val="0"/>
          <w:bCs w:val="0"/>
          <w:color w:val="000000"/>
          <w:kern w:val="0"/>
          <w:sz w:val="30"/>
          <w:szCs w:val="30"/>
        </w:rPr>
        <w:t>学位论文预答辩由预答辩小组负责人主持。导师应对申请人的学位论文研究情况作全面介绍。学位申请人</w:t>
      </w:r>
      <w:r>
        <w:rPr>
          <w:rFonts w:hint="eastAsia" w:ascii="仿宋_GB2312" w:hAnsi="宋体" w:eastAsia="仿宋_GB2312" w:cs="宋体"/>
          <w:b w:val="0"/>
          <w:bCs w:val="0"/>
          <w:color w:val="000000"/>
          <w:kern w:val="0"/>
          <w:sz w:val="30"/>
          <w:szCs w:val="30"/>
        </w:rPr>
        <w:t>PPT汇报学位论文情况，</w:t>
      </w:r>
      <w:r>
        <w:rPr>
          <w:rFonts w:ascii="仿宋_GB2312" w:hAnsi="宋体" w:eastAsia="仿宋_GB2312" w:cs="宋体"/>
          <w:b w:val="0"/>
          <w:bCs w:val="0"/>
          <w:color w:val="000000"/>
          <w:kern w:val="0"/>
          <w:sz w:val="30"/>
          <w:szCs w:val="30"/>
        </w:rPr>
        <w:t>除介绍学位论文内容外，还应重点介绍学位论文的创新性及关键性结论。预答辩小组应结合开题报告</w:t>
      </w:r>
      <w:r>
        <w:rPr>
          <w:rFonts w:hint="eastAsia" w:ascii="仿宋_GB2312" w:hAnsi="宋体" w:eastAsia="仿宋_GB2312" w:cs="宋体"/>
          <w:b w:val="0"/>
          <w:bCs w:val="0"/>
          <w:color w:val="000000"/>
          <w:kern w:val="0"/>
          <w:sz w:val="30"/>
          <w:szCs w:val="30"/>
        </w:rPr>
        <w:t>、中期考核</w:t>
      </w:r>
      <w:r>
        <w:rPr>
          <w:rFonts w:ascii="仿宋_GB2312" w:hAnsi="宋体" w:eastAsia="仿宋_GB2312" w:cs="宋体"/>
          <w:b w:val="0"/>
          <w:bCs w:val="0"/>
          <w:color w:val="000000"/>
          <w:kern w:val="0"/>
          <w:sz w:val="30"/>
          <w:szCs w:val="30"/>
        </w:rPr>
        <w:t>等，对学位论文进行提问，要求申请人予以答辩，从而对其学位论文工作量、创新性、立论依据、学术水平等作出评价。预答辩结论分为合格、基本合格和不合格三种。</w:t>
      </w:r>
      <w:r>
        <w:rPr>
          <w:rFonts w:hint="eastAsia" w:ascii="仿宋_GB2312" w:hAnsi="宋体" w:eastAsia="仿宋_GB2312" w:cs="宋体"/>
          <w:b w:val="0"/>
          <w:bCs w:val="0"/>
          <w:color w:val="000000"/>
          <w:kern w:val="0"/>
          <w:sz w:val="30"/>
          <w:szCs w:val="30"/>
        </w:rPr>
        <w:t>预答辩结束后，小组秘书将《苏大附</w:t>
      </w:r>
      <w:r>
        <w:rPr>
          <w:rFonts w:hint="eastAsia" w:ascii="仿宋_GB2312" w:hAnsi="宋体" w:eastAsia="仿宋_GB2312" w:cs="宋体"/>
          <w:b w:val="0"/>
          <w:bCs w:val="0"/>
          <w:color w:val="000000"/>
          <w:kern w:val="0"/>
          <w:sz w:val="30"/>
          <w:szCs w:val="30"/>
          <w:lang w:val="en-US" w:eastAsia="zh-CN"/>
        </w:rPr>
        <w:t>四</w:t>
      </w:r>
      <w:r>
        <w:rPr>
          <w:rFonts w:hint="eastAsia" w:ascii="仿宋_GB2312" w:hAnsi="宋体" w:eastAsia="仿宋_GB2312" w:cs="宋体"/>
          <w:b w:val="0"/>
          <w:bCs w:val="0"/>
          <w:color w:val="000000"/>
          <w:kern w:val="0"/>
          <w:sz w:val="30"/>
          <w:szCs w:val="30"/>
        </w:rPr>
        <w:t>院研究生预答辩完成情况表》电子档和纸质档报教育培训处备案。</w:t>
      </w:r>
    </w:p>
    <w:p w14:paraId="459D827C">
      <w:pPr>
        <w:widowControl/>
        <w:ind w:firstLine="600" w:firstLineChars="200"/>
        <w:jc w:val="left"/>
        <w:rPr>
          <w:rFonts w:ascii="宋体" w:hAnsi="宋体" w:cs="宋体"/>
          <w:b w:val="0"/>
          <w:bCs w:val="0"/>
          <w:color w:val="000000"/>
          <w:kern w:val="0"/>
          <w:sz w:val="30"/>
          <w:szCs w:val="30"/>
        </w:rPr>
      </w:pPr>
      <w:r>
        <w:rPr>
          <w:rFonts w:ascii="仿宋_GB2312" w:hAnsi="宋体" w:eastAsia="仿宋_GB2312" w:cs="宋体"/>
          <w:b w:val="0"/>
          <w:bCs w:val="0"/>
          <w:color w:val="000000"/>
          <w:kern w:val="0"/>
          <w:sz w:val="30"/>
          <w:szCs w:val="30"/>
        </w:rPr>
        <w:t>凡学位论文预答辩“不合格”者，必须对学位论文进行修改，经导师审核通过后，方可申请学位论文答辩，申请时需附学位论文修改情况的书面说明。预答辩“合格”或“基本合格”者，亦应根据预答辩小组提出的修改意见，进一步完善学位论文。</w:t>
      </w:r>
    </w:p>
    <w:p w14:paraId="6F0EC12F">
      <w:pPr>
        <w:widowControl/>
        <w:jc w:val="left"/>
        <w:rPr>
          <w:rFonts w:ascii="仿宋_GB2312" w:hAnsi="宋体" w:eastAsia="仿宋_GB2312" w:cs="宋体"/>
          <w:b w:val="0"/>
          <w:bCs w:val="0"/>
          <w:color w:val="000000"/>
          <w:kern w:val="0"/>
          <w:sz w:val="30"/>
          <w:szCs w:val="30"/>
        </w:rPr>
      </w:pPr>
      <w:r>
        <w:rPr>
          <w:rFonts w:hint="eastAsia" w:ascii="仿宋_GB2312" w:hAnsi="宋体" w:eastAsia="仿宋_GB2312" w:cs="宋体"/>
          <w:b w:val="0"/>
          <w:bCs w:val="0"/>
          <w:color w:val="000000"/>
          <w:kern w:val="0"/>
          <w:sz w:val="30"/>
          <w:szCs w:val="30"/>
        </w:rPr>
        <w:t>二、答辩</w:t>
      </w:r>
    </w:p>
    <w:p w14:paraId="58EFE1B9">
      <w:pPr>
        <w:widowControl/>
        <w:spacing w:line="360" w:lineRule="auto"/>
        <w:jc w:val="left"/>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（一）硕士研究生的学位论文答辩委员会</w:t>
      </w:r>
    </w:p>
    <w:p w14:paraId="60BA892A">
      <w:pPr>
        <w:widowControl/>
        <w:spacing w:line="360" w:lineRule="auto"/>
        <w:ind w:firstLine="560" w:firstLineChars="200"/>
        <w:jc w:val="left"/>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学术型硕士研究生的学位论文答辩委员会，由学术造诣较深的副高级及以上职称的专家3人或5人组成，其中硕士研究生导师至少2人，正高级职称的专家应占多数。答辩委员会主席由具有正高级职称和硕士研究生导师资格的专家担任。</w:t>
      </w:r>
    </w:p>
    <w:p w14:paraId="6301C9DA">
      <w:pPr>
        <w:widowControl/>
        <w:spacing w:line="360" w:lineRule="auto"/>
        <w:ind w:firstLine="560" w:firstLineChars="200"/>
        <w:jc w:val="left"/>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专业型硕士研究生的学位论文答辩委员会，由实践经验较丰富和有一定学术造诣的副高级及以上职称的专家3人或5人组成，其中硕士研究生导师至少2人，校外和申请人所在单位以外</w:t>
      </w:r>
      <w:r>
        <w:rPr>
          <w:rFonts w:hint="eastAsia" w:ascii="仿宋" w:hAnsi="仿宋" w:eastAsia="仿宋" w:cs="仿宋"/>
          <w:b w:val="0"/>
          <w:bCs w:val="0"/>
          <w:color w:val="000000"/>
          <w:kern w:val="0"/>
          <w:sz w:val="28"/>
          <w:szCs w:val="28"/>
          <w:lang w:eastAsia="zh-CN"/>
        </w:rPr>
        <w:t>的</w:t>
      </w:r>
      <w:r>
        <w:rPr>
          <w:rFonts w:hint="eastAsia" w:ascii="仿宋" w:hAnsi="仿宋" w:eastAsia="仿宋" w:cs="仿宋"/>
          <w:b w:val="0"/>
          <w:bCs w:val="0"/>
          <w:color w:val="000000"/>
          <w:kern w:val="0"/>
          <w:sz w:val="28"/>
          <w:szCs w:val="28"/>
        </w:rPr>
        <w:t>同领域实践专家至少1人</w:t>
      </w:r>
      <w:r>
        <w:rPr>
          <w:rFonts w:hint="eastAsia" w:ascii="仿宋" w:hAnsi="仿宋" w:eastAsia="仿宋" w:cs="仿宋"/>
          <w:b/>
          <w:bCs/>
          <w:color w:val="FF0000"/>
          <w:kern w:val="0"/>
          <w:sz w:val="28"/>
          <w:szCs w:val="28"/>
        </w:rPr>
        <w:t>（</w:t>
      </w:r>
      <w:r>
        <w:rPr>
          <w:rFonts w:hint="eastAsia" w:ascii="仿宋" w:hAnsi="仿宋" w:eastAsia="仿宋" w:cs="仿宋"/>
          <w:b/>
          <w:bCs/>
          <w:color w:val="FF0000"/>
          <w:kern w:val="0"/>
          <w:sz w:val="28"/>
          <w:szCs w:val="28"/>
          <w:lang w:val="en-US" w:eastAsia="zh-CN"/>
        </w:rPr>
        <w:t>苏大各</w:t>
      </w:r>
      <w:r>
        <w:rPr>
          <w:rFonts w:hint="eastAsia" w:ascii="仿宋" w:hAnsi="仿宋" w:eastAsia="仿宋" w:cs="仿宋"/>
          <w:b/>
          <w:bCs/>
          <w:color w:val="FF0000"/>
          <w:kern w:val="0"/>
          <w:sz w:val="28"/>
          <w:szCs w:val="28"/>
        </w:rPr>
        <w:t>附属医院专家不属于校外专家，下同）</w:t>
      </w:r>
      <w:r>
        <w:rPr>
          <w:rFonts w:hint="eastAsia" w:ascii="仿宋" w:hAnsi="仿宋" w:eastAsia="仿宋" w:cs="仿宋"/>
          <w:b w:val="0"/>
          <w:bCs w:val="0"/>
          <w:color w:val="000000"/>
          <w:kern w:val="0"/>
          <w:sz w:val="28"/>
          <w:szCs w:val="28"/>
        </w:rPr>
        <w:t>。答辩委员会主席由具有正高级职称和硕士研究生导师资格的专家担任。</w:t>
      </w:r>
    </w:p>
    <w:p w14:paraId="6438DA88">
      <w:pPr>
        <w:widowControl/>
        <w:spacing w:line="360" w:lineRule="auto"/>
        <w:ind w:firstLine="560" w:firstLineChars="200"/>
        <w:jc w:val="left"/>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同等学力硕士研究生的学位论文答辩委员会，由学术造诣较深的副高级及以上职称的专家5人或7人组成，其中硕士研究生导师至少3人，校外和申请人所在单位以外的专家至少1人。答辩委员会主席由具有正高级职称和硕士研究生导师资格的专家担任。</w:t>
      </w:r>
    </w:p>
    <w:p w14:paraId="731D5FC3">
      <w:pPr>
        <w:widowControl/>
        <w:spacing w:line="360" w:lineRule="auto"/>
        <w:ind w:firstLine="560" w:firstLineChars="200"/>
        <w:jc w:val="left"/>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学位论文答辩委员会设秘书1人，由具有中级及以上职称或硕士及以上学位的教师担任。</w:t>
      </w:r>
    </w:p>
    <w:p w14:paraId="1348DAA9">
      <w:pPr>
        <w:widowControl/>
        <w:spacing w:line="360" w:lineRule="auto"/>
        <w:ind w:firstLine="560" w:firstLineChars="200"/>
        <w:jc w:val="left"/>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申请人的导师不得聘为学位论文答辩委员会成员。学位论文答辩委员会组成实行近亲属回避制度，申请人的近亲属、导师的近亲属均不得担任答辩委员会成员或秘书。</w:t>
      </w:r>
    </w:p>
    <w:p w14:paraId="3563FA81">
      <w:pPr>
        <w:widowControl/>
        <w:spacing w:line="360" w:lineRule="auto"/>
        <w:jc w:val="left"/>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（二）博士研究生的学位论文答辩委员会</w:t>
      </w:r>
    </w:p>
    <w:p w14:paraId="6FA4BB53">
      <w:pPr>
        <w:widowControl/>
        <w:spacing w:line="360" w:lineRule="auto"/>
        <w:ind w:firstLine="560" w:firstLineChars="200"/>
        <w:jc w:val="left"/>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学术型博士研究生的学位论文答辩委员会，由学术造诣深厚的正高级职称的专家5人或7人组成，其中博士研究生导师应占多数</w:t>
      </w:r>
      <w:r>
        <w:rPr>
          <w:rFonts w:hint="eastAsia" w:ascii="仿宋" w:hAnsi="仿宋" w:eastAsia="仿宋" w:cs="仿宋"/>
          <w:b w:val="0"/>
          <w:bCs w:val="0"/>
          <w:color w:val="000000"/>
          <w:kern w:val="0"/>
          <w:sz w:val="28"/>
          <w:szCs w:val="28"/>
          <w:lang w:eastAsia="zh-CN"/>
        </w:rPr>
        <w:t>，</w:t>
      </w:r>
      <w:r>
        <w:rPr>
          <w:rFonts w:hint="eastAsia" w:ascii="仿宋" w:hAnsi="仿宋" w:eastAsia="仿宋" w:cs="仿宋"/>
          <w:b/>
          <w:bCs/>
          <w:color w:val="FF0000"/>
          <w:kern w:val="0"/>
          <w:sz w:val="28"/>
          <w:szCs w:val="28"/>
          <w:lang w:val="en-US" w:eastAsia="zh-CN"/>
        </w:rPr>
        <w:t>校外专家应当不少于2人</w:t>
      </w:r>
      <w:r>
        <w:rPr>
          <w:rFonts w:hint="eastAsia" w:ascii="仿宋" w:hAnsi="仿宋" w:eastAsia="仿宋" w:cs="仿宋"/>
          <w:b w:val="0"/>
          <w:bCs w:val="0"/>
          <w:color w:val="000000"/>
          <w:kern w:val="0"/>
          <w:sz w:val="28"/>
          <w:szCs w:val="28"/>
        </w:rPr>
        <w:t>。答辩委员会主席由具有正高级职称和博士研究生导师资格的专家担任。</w:t>
      </w:r>
    </w:p>
    <w:p w14:paraId="28A098E3">
      <w:pPr>
        <w:widowControl/>
        <w:spacing w:line="360" w:lineRule="auto"/>
        <w:ind w:firstLine="560" w:firstLineChars="200"/>
        <w:jc w:val="left"/>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专业型博士研究生（包括</w:t>
      </w:r>
      <w:r>
        <w:rPr>
          <w:rFonts w:hint="eastAsia" w:ascii="仿宋" w:hAnsi="仿宋" w:eastAsia="仿宋" w:cs="仿宋"/>
          <w:b w:val="0"/>
          <w:bCs w:val="0"/>
          <w:kern w:val="0"/>
          <w:sz w:val="28"/>
          <w:szCs w:val="28"/>
        </w:rPr>
        <w:t>临床医学专业学位博士研究生</w:t>
      </w:r>
      <w:r>
        <w:rPr>
          <w:rFonts w:hint="eastAsia" w:ascii="仿宋" w:hAnsi="仿宋" w:eastAsia="仿宋" w:cs="仿宋"/>
          <w:b w:val="0"/>
          <w:bCs w:val="0"/>
          <w:color w:val="000000"/>
          <w:kern w:val="0"/>
          <w:sz w:val="28"/>
          <w:szCs w:val="28"/>
        </w:rPr>
        <w:t>）的学位论文答辩委员会，由实践经验丰富和学术造诣较深的正高级职称的专家5人或7人组成，其中博士研究生导师应占多数，</w:t>
      </w:r>
      <w:r>
        <w:rPr>
          <w:rFonts w:hint="eastAsia" w:ascii="仿宋" w:hAnsi="仿宋" w:eastAsia="仿宋" w:cs="仿宋"/>
          <w:b/>
          <w:bCs/>
          <w:color w:val="FF0000"/>
          <w:kern w:val="0"/>
          <w:sz w:val="28"/>
          <w:szCs w:val="28"/>
        </w:rPr>
        <w:t>校外和申请人所在单位以外的同领域实践专家应当不少于2人</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000000"/>
          <w:kern w:val="0"/>
          <w:sz w:val="28"/>
          <w:szCs w:val="28"/>
        </w:rPr>
        <w:t>答辩委员会主席由具有正高级职称和博士研究生导师资格的专家担任。</w:t>
      </w:r>
    </w:p>
    <w:p w14:paraId="03087D4D">
      <w:pPr>
        <w:widowControl/>
        <w:spacing w:line="360" w:lineRule="auto"/>
        <w:ind w:firstLine="560" w:firstLineChars="200"/>
        <w:jc w:val="left"/>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学位论文答辩委员会设秘书1人，由具有中级及以上职称或博士学位的教师担任。</w:t>
      </w:r>
    </w:p>
    <w:p w14:paraId="2DF3AD44">
      <w:pPr>
        <w:widowControl/>
        <w:spacing w:line="360" w:lineRule="auto"/>
        <w:ind w:firstLine="560" w:firstLineChars="200"/>
        <w:jc w:val="left"/>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申请人的导师不得聘为学位论文答辩委员会成员。学位论文答辩委员会组成实行近亲属回避制度，申请人的近亲属、导师的近亲属均不得担任答辩委员会成员或秘书。</w:t>
      </w:r>
    </w:p>
    <w:p w14:paraId="2CA8BBE5">
      <w:pPr>
        <w:numPr>
          <w:ilvl w:val="0"/>
          <w:numId w:val="1"/>
        </w:numPr>
        <w:spacing w:line="360" w:lineRule="auto"/>
        <w:ind w:firstLine="0"/>
        <w:jc w:val="left"/>
        <w:rPr>
          <w:rFonts w:hint="eastAsia" w:ascii="仿宋" w:hAnsi="仿宋" w:eastAsia="仿宋" w:cs="仿宋"/>
          <w:b w:val="0"/>
          <w:bCs w:val="0"/>
          <w:i w:val="0"/>
          <w:iCs w:val="0"/>
          <w:caps w:val="0"/>
          <w:color w:val="000000"/>
          <w:spacing w:val="0"/>
          <w:kern w:val="0"/>
          <w:sz w:val="28"/>
          <w:szCs w:val="28"/>
          <w:shd w:val="clear" w:fill="FFFFFF"/>
          <w:lang w:bidi="ar"/>
        </w:rPr>
      </w:pPr>
      <w:r>
        <w:rPr>
          <w:rFonts w:hint="eastAsia" w:ascii="仿宋" w:hAnsi="仿宋" w:eastAsia="仿宋" w:cs="仿宋"/>
          <w:b w:val="0"/>
          <w:bCs w:val="0"/>
          <w:i w:val="0"/>
          <w:iCs w:val="0"/>
          <w:caps w:val="0"/>
          <w:color w:val="000000"/>
          <w:spacing w:val="0"/>
          <w:kern w:val="0"/>
          <w:sz w:val="28"/>
          <w:szCs w:val="28"/>
          <w:shd w:val="clear" w:fill="FFFFFF"/>
          <w:lang w:bidi="ar"/>
        </w:rPr>
        <w:t>答辩工作安排</w:t>
      </w:r>
    </w:p>
    <w:p w14:paraId="245FF7BB">
      <w:pPr>
        <w:numPr>
          <w:numId w:val="0"/>
        </w:numPr>
        <w:spacing w:line="360" w:lineRule="auto"/>
        <w:ind w:firstLine="560" w:firstLineChars="200"/>
        <w:jc w:val="left"/>
        <w:rPr>
          <w:rFonts w:hint="eastAsia" w:ascii="仿宋" w:hAnsi="仿宋" w:eastAsia="仿宋" w:cs="仿宋"/>
          <w:b w:val="0"/>
          <w:bCs w:val="0"/>
          <w:i w:val="0"/>
          <w:iCs w:val="0"/>
          <w:caps w:val="0"/>
          <w:color w:val="000000"/>
          <w:spacing w:val="0"/>
          <w:kern w:val="0"/>
          <w:sz w:val="28"/>
          <w:szCs w:val="28"/>
          <w:shd w:val="clear" w:fill="FFFFFF"/>
          <w:lang w:bidi="ar"/>
        </w:rPr>
      </w:pPr>
      <w:r>
        <w:rPr>
          <w:rFonts w:hint="eastAsia" w:ascii="仿宋" w:hAnsi="仿宋" w:eastAsia="仿宋" w:cs="仿宋"/>
          <w:b w:val="0"/>
          <w:bCs w:val="0"/>
          <w:i w:val="0"/>
          <w:iCs w:val="0"/>
          <w:caps w:val="0"/>
          <w:color w:val="000000"/>
          <w:spacing w:val="0"/>
          <w:kern w:val="0"/>
          <w:sz w:val="28"/>
          <w:szCs w:val="28"/>
          <w:shd w:val="clear" w:fill="FFFFFF"/>
          <w:lang w:bidi="ar"/>
        </w:rPr>
        <w:t>各科室可根据苏州大学学位评定委员会章程所规定的学位评定会议次数，</w:t>
      </w:r>
      <w:bookmarkStart w:id="0" w:name="_GoBack"/>
      <w:bookmarkEnd w:id="0"/>
      <w:r>
        <w:rPr>
          <w:rFonts w:hint="eastAsia" w:ascii="仿宋" w:hAnsi="仿宋" w:eastAsia="仿宋" w:cs="仿宋"/>
          <w:b w:val="0"/>
          <w:bCs w:val="0"/>
          <w:i w:val="0"/>
          <w:iCs w:val="0"/>
          <w:caps w:val="0"/>
          <w:color w:val="000000"/>
          <w:spacing w:val="0"/>
          <w:kern w:val="0"/>
          <w:sz w:val="28"/>
          <w:szCs w:val="28"/>
          <w:shd w:val="clear" w:fill="FFFFFF"/>
          <w:lang w:bidi="ar"/>
        </w:rPr>
        <w:t>合理安排研究生学位论文答辩工作。</w:t>
      </w:r>
    </w:p>
    <w:p w14:paraId="58560450">
      <w:pPr>
        <w:numPr>
          <w:numId w:val="0"/>
        </w:numPr>
        <w:spacing w:line="360" w:lineRule="auto"/>
        <w:ind w:firstLine="560" w:firstLineChars="200"/>
        <w:jc w:val="left"/>
        <w:rPr>
          <w:rFonts w:hint="eastAsia" w:ascii="仿宋" w:hAnsi="仿宋" w:eastAsia="仿宋" w:cs="仿宋"/>
          <w:b w:val="0"/>
          <w:bCs w:val="0"/>
          <w:i w:val="0"/>
          <w:iCs w:val="0"/>
          <w:caps w:val="0"/>
          <w:color w:val="000000"/>
          <w:spacing w:val="0"/>
          <w:kern w:val="0"/>
          <w:sz w:val="28"/>
          <w:szCs w:val="28"/>
          <w:shd w:val="clear" w:fill="FFFFFF"/>
          <w:lang w:bidi="ar"/>
        </w:rPr>
      </w:pPr>
      <w:r>
        <w:rPr>
          <w:rFonts w:hint="eastAsia" w:ascii="仿宋" w:hAnsi="仿宋" w:eastAsia="仿宋" w:cs="仿宋"/>
          <w:b w:val="0"/>
          <w:bCs w:val="0"/>
          <w:i w:val="0"/>
          <w:iCs w:val="0"/>
          <w:caps w:val="0"/>
          <w:color w:val="FF0000"/>
          <w:spacing w:val="0"/>
          <w:kern w:val="0"/>
          <w:sz w:val="28"/>
          <w:szCs w:val="28"/>
          <w:shd w:val="clear" w:fill="FFFFFF"/>
          <w:lang w:bidi="ar"/>
        </w:rPr>
        <w:t>答辩时间、地点等信息至少应提前一周填报研究生教育教学管理系统。</w:t>
      </w:r>
      <w:r>
        <w:rPr>
          <w:rFonts w:hint="eastAsia" w:ascii="仿宋" w:hAnsi="仿宋" w:eastAsia="仿宋" w:cs="仿宋"/>
          <w:b w:val="0"/>
          <w:bCs w:val="0"/>
          <w:i w:val="0"/>
          <w:iCs w:val="0"/>
          <w:caps w:val="0"/>
          <w:color w:val="000000"/>
          <w:spacing w:val="0"/>
          <w:kern w:val="0"/>
          <w:sz w:val="28"/>
          <w:szCs w:val="28"/>
          <w:shd w:val="clear" w:fill="FFFFFF"/>
          <w:lang w:bidi="ar"/>
        </w:rPr>
        <w:t>为便于校内外人员列席旁听及安排现场督导工作，博士学位论文答辩的时间和地点可通过医院（科室）网站或海报形式予以公布。</w:t>
      </w:r>
    </w:p>
    <w:p w14:paraId="4EB31CCA">
      <w:pPr>
        <w:widowControl/>
        <w:ind w:firstLine="600" w:firstLineChars="200"/>
        <w:jc w:val="left"/>
        <w:rPr>
          <w:rFonts w:ascii="仿宋_GB2312" w:hAnsi="宋体" w:eastAsia="仿宋_GB2312" w:cs="宋体"/>
          <w:b w:val="0"/>
          <w:bCs w:val="0"/>
          <w:kern w:val="0"/>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38733"/>
      <w:docPartObj>
        <w:docPartGallery w:val="autotext"/>
      </w:docPartObj>
    </w:sdtPr>
    <w:sdtContent>
      <w:p w14:paraId="747FA46A">
        <w:pPr>
          <w:pStyle w:val="3"/>
          <w:jc w:val="right"/>
        </w:pPr>
        <w:r>
          <w:fldChar w:fldCharType="begin"/>
        </w:r>
        <w:r>
          <w:instrText xml:space="preserve"> PAGE   \* MERGEFORMAT </w:instrText>
        </w:r>
        <w:r>
          <w:fldChar w:fldCharType="separate"/>
        </w:r>
        <w:r>
          <w:rPr>
            <w:lang w:val="zh-CN"/>
          </w:rPr>
          <w:t>1</w:t>
        </w:r>
        <w:r>
          <w:rPr>
            <w:lang w:val="zh-CN"/>
          </w:rPr>
          <w:fldChar w:fldCharType="end"/>
        </w:r>
      </w:p>
    </w:sdtContent>
  </w:sdt>
  <w:p w14:paraId="611194AD">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F1415"/>
    <w:multiLevelType w:val="singleLevel"/>
    <w:tmpl w:val="961F141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2449A"/>
    <w:rsid w:val="000107AB"/>
    <w:rsid w:val="00016E8B"/>
    <w:rsid w:val="00065F7F"/>
    <w:rsid w:val="000C66DC"/>
    <w:rsid w:val="000F6FA5"/>
    <w:rsid w:val="00152359"/>
    <w:rsid w:val="00152FD7"/>
    <w:rsid w:val="00163EE9"/>
    <w:rsid w:val="001F4384"/>
    <w:rsid w:val="0025304F"/>
    <w:rsid w:val="002B062C"/>
    <w:rsid w:val="002E319B"/>
    <w:rsid w:val="0031509F"/>
    <w:rsid w:val="00322675"/>
    <w:rsid w:val="00341C8B"/>
    <w:rsid w:val="003A008F"/>
    <w:rsid w:val="003A1882"/>
    <w:rsid w:val="003B0340"/>
    <w:rsid w:val="003B1407"/>
    <w:rsid w:val="003F7731"/>
    <w:rsid w:val="0041530F"/>
    <w:rsid w:val="004C35B5"/>
    <w:rsid w:val="004F52A6"/>
    <w:rsid w:val="00507429"/>
    <w:rsid w:val="00537660"/>
    <w:rsid w:val="00554BA0"/>
    <w:rsid w:val="005A10A8"/>
    <w:rsid w:val="005A1AB0"/>
    <w:rsid w:val="00646661"/>
    <w:rsid w:val="00680535"/>
    <w:rsid w:val="006857E7"/>
    <w:rsid w:val="006C1AFC"/>
    <w:rsid w:val="006F065D"/>
    <w:rsid w:val="00710D38"/>
    <w:rsid w:val="007314A1"/>
    <w:rsid w:val="00737E59"/>
    <w:rsid w:val="007A4AD5"/>
    <w:rsid w:val="007B07BC"/>
    <w:rsid w:val="007E2557"/>
    <w:rsid w:val="007E7FDC"/>
    <w:rsid w:val="00800774"/>
    <w:rsid w:val="00821379"/>
    <w:rsid w:val="00905A2A"/>
    <w:rsid w:val="0090648E"/>
    <w:rsid w:val="0092449A"/>
    <w:rsid w:val="009A7253"/>
    <w:rsid w:val="00A0033E"/>
    <w:rsid w:val="00A017B9"/>
    <w:rsid w:val="00A26D3F"/>
    <w:rsid w:val="00A313BC"/>
    <w:rsid w:val="00A94D92"/>
    <w:rsid w:val="00AE7606"/>
    <w:rsid w:val="00B1216A"/>
    <w:rsid w:val="00B136FE"/>
    <w:rsid w:val="00B45497"/>
    <w:rsid w:val="00BC5284"/>
    <w:rsid w:val="00BC617D"/>
    <w:rsid w:val="00BF363D"/>
    <w:rsid w:val="00C0218B"/>
    <w:rsid w:val="00C3780E"/>
    <w:rsid w:val="00C77756"/>
    <w:rsid w:val="00C87394"/>
    <w:rsid w:val="00CF5789"/>
    <w:rsid w:val="00D41E5F"/>
    <w:rsid w:val="00D75813"/>
    <w:rsid w:val="00DF0CB1"/>
    <w:rsid w:val="00E04236"/>
    <w:rsid w:val="00E71EB7"/>
    <w:rsid w:val="00E76DA1"/>
    <w:rsid w:val="00EB452E"/>
    <w:rsid w:val="00EE01FB"/>
    <w:rsid w:val="00EE6E74"/>
    <w:rsid w:val="00F2127A"/>
    <w:rsid w:val="00F86E4B"/>
    <w:rsid w:val="00FB65C3"/>
    <w:rsid w:val="08EB6813"/>
    <w:rsid w:val="0DF36AFF"/>
    <w:rsid w:val="469947EA"/>
    <w:rsid w:val="75B14F7E"/>
    <w:rsid w:val="7AF16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批注框文本 Char"/>
    <w:basedOn w:val="7"/>
    <w:link w:val="2"/>
    <w:semiHidden/>
    <w:qFormat/>
    <w:uiPriority w:val="99"/>
    <w:rPr>
      <w:sz w:val="18"/>
      <w:szCs w:val="18"/>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1787</Words>
  <Characters>1789</Characters>
  <Lines>14</Lines>
  <Paragraphs>4</Paragraphs>
  <TotalTime>1</TotalTime>
  <ScaleCrop>false</ScaleCrop>
  <LinksUpToDate>false</LinksUpToDate>
  <CharactersWithSpaces>1789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2018-02-27T06:59:00Z</dcterms:created>
  <dc:creator>admin</dc:creator>
  <cp:lastModifiedBy>相成</cp:lastModifiedBy>
  <dcterms:modified xsi:type="dcterms:W3CDTF">2025-04-30T06:35:23Z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eyJoZGlkIjoiZTZkNTBmN2IwYmM3YmJhY2M0ZDA0YjIzNWJlZWZiZDQiLCJ1c2VySWQiOiI1NTA5OTM1NTUifQ==</vt:lpwstr>
  </property>
  <property fmtid="{D5CDD505-2E9C-101B-9397-08002B2CF9AE}" pid="3" name="KSOProductBuildVer">
    <vt:lpwstr>2052-12.1.0.20784</vt:lpwstr>
  </property>
  <property fmtid="{D5CDD505-2E9C-101B-9397-08002B2CF9AE}" pid="4" name="ICV">
    <vt:lpwstr>533B144745F34B578E8C173D090FA376_12</vt:lpwstr>
  </property>
</Properties>
</file>